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Võrdeline vs lineaarne seos</w:t>
      </w:r>
    </w:p>
    <w:p>
      <w:r>
        <w:t xml:space="preserve">Vanuseaste: 7.–9. klass</w:t>
      </w:r>
    </w:p>
    <w:p>
      <w:r>
        <w:t xml:space="preserve">Meetod: Toh</w:t>
      </w:r>
    </w:p>
    <w:p>
      <w:r>
        <w:t xml:space="preserve">Kestus: 45 min</w:t>
      </w:r>
    </w:p>
    <w:p>
      <w:r>
        <w:t xml:space="preserve">Autor: Kerdi Mihhailova (Teadur)</w:t>
      </w:r>
    </w:p>
    <w:p>
      <w:r>
        <w:t xml:space="preserve">Tüüp: Näidistund</w:t>
      </w:r>
    </w:p>
    <w:p>
      <w:pPr>
        <w:pStyle w:val="Heading2"/>
        <w:spacing w:before="300"/>
      </w:pPr>
      <w:r>
        <w:t xml:space="preserve">Tunni osad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1800"/>
        <w:gridCol w:w="1800"/>
        <w:gridCol w:w="1000"/>
        <w:gridCol w:w="3800"/>
      </w:tblGrid>
      <w:tr>
        <w:tc>
          <w:tcPr>
            <w:tcW w:type="dxa" w:w="600"/>
            <w:shd w:fill="E2E8F0" w:val="clear"/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tcW w:type="dxa" w:w="1800"/>
            <w:shd w:fill="E2E8F0" w:val="clear"/>
          </w:tcPr>
          <w:p>
            <w:r>
              <w:rPr>
                <w:b/>
                <w:bCs/>
              </w:rPr>
              <w:t xml:space="preserve">Osa nimetus</w:t>
            </w:r>
          </w:p>
        </w:tc>
        <w:tc>
          <w:tcPr>
            <w:tcW w:type="dxa" w:w="1800"/>
            <w:shd w:fill="E2E8F0" w:val="clear"/>
          </w:tcPr>
          <w:p>
            <w:r>
              <w:rPr>
                <w:b/>
                <w:bCs/>
              </w:rPr>
              <w:t xml:space="preserve">Tüüp</w:t>
            </w:r>
          </w:p>
        </w:tc>
        <w:tc>
          <w:tcPr>
            <w:tcW w:type="dxa" w:w="1000"/>
            <w:shd w:fill="E2E8F0" w:val="clear"/>
          </w:tcPr>
          <w:p>
            <w:r>
              <w:rPr>
                <w:b/>
                <w:bCs/>
              </w:rPr>
              <w:t xml:space="preserve">Kestus</w:t>
            </w:r>
          </w:p>
        </w:tc>
        <w:tc>
          <w:tcPr>
            <w:tcW w:type="dxa" w:w="3800"/>
            <w:shd w:fill="E2E8F0" w:val="clear"/>
          </w:tcPr>
          <w:p>
            <w:r>
              <w:rPr>
                <w:b/>
                <w:bCs/>
              </w:rPr>
              <w:t xml:space="preserve">Lühikirjeldus</w:t>
            </w:r>
          </w:p>
        </w:tc>
      </w:tr>
      <w:tr>
        <w:tc>
          <w:tcPr>
            <w:tcW w:type="dxa" w:w="600"/>
          </w:tcPr>
          <w:p>
            <w:r>
              <w:t xml:space="preserve">1</w:t>
            </w:r>
          </w:p>
        </w:tc>
        <w:tc>
          <w:tcPr>
            <w:tcW w:type="dxa" w:w="1800"/>
          </w:tcPr>
          <w:p>
            <w:r>
              <w:t xml:space="preserve">Häälestus</w:t>
            </w:r>
          </w:p>
        </w:tc>
        <w:tc>
          <w:tcPr>
            <w:tcW w:type="dxa" w:w="1800"/>
          </w:tcPr>
          <w:p>
            <w:r>
              <w:t xml:space="preserve">Õpetaja esitlus</w:t>
            </w:r>
          </w:p>
        </w:tc>
        <w:tc>
          <w:tcPr>
            <w:tcW w:type="dxa" w:w="1000"/>
          </w:tcPr>
          <w:p>
            <w:r>
              <w:t xml:space="preserve">5 min</w:t>
            </w:r>
          </w:p>
        </w:tc>
        <w:tc>
          <w:tcPr>
            <w:tcW w:type="dxa" w:w="3800"/>
          </w:tcPr>
          <w:p>
            <w:r>
              <w:t xml:space="preserve">Õpetajaga annab ette kaks elulist olukorda (üks algab nullist, teine mitte)</w:t>
            </w:r>
          </w:p>
        </w:tc>
      </w:tr>
      <w:tr>
        <w:tc>
          <w:tcPr>
            <w:tcW w:type="dxa" w:w="600"/>
          </w:tcPr>
          <w:p>
            <w:r>
              <w:t xml:space="preserve">2</w:t>
            </w:r>
          </w:p>
        </w:tc>
        <w:tc>
          <w:tcPr>
            <w:tcW w:type="dxa" w:w="1800"/>
          </w:tcPr>
          <w:p>
            <w:r>
              <w:t xml:space="preserve">Mõtestamine</w:t>
            </w:r>
          </w:p>
        </w:tc>
        <w:tc>
          <w:tcPr>
            <w:tcW w:type="dxa" w:w="1800"/>
          </w:tcPr>
          <w:p>
            <w:r>
              <w:t xml:space="preserve">Probleemilahendus rühmatööna</w:t>
            </w:r>
          </w:p>
        </w:tc>
        <w:tc>
          <w:tcPr>
            <w:tcW w:type="dxa" w:w="1000"/>
          </w:tcPr>
          <w:p>
            <w:r>
              <w:t xml:space="preserve">10 min</w:t>
            </w:r>
          </w:p>
        </w:tc>
        <w:tc>
          <w:tcPr>
            <w:tcW w:type="dxa" w:w="3800"/>
          </w:tcPr>
          <w:p>
            <w:r>
              <w:t xml:space="preserve">Õpilased vastavad paaristööna küsimustele. Visualiseerivad klotside/kepikeste vms abil tekkinud olukorrad. Täidavad alles peale visuaali loomist tabelid ja vastavad suunatud küsimustele.</w:t>
            </w:r>
          </w:p>
        </w:tc>
      </w:tr>
      <w:tr>
        <w:tc>
          <w:tcPr>
            <w:tcW w:type="dxa" w:w="600"/>
          </w:tcPr>
          <w:p>
            <w:r>
              <w:t xml:space="preserve">3</w:t>
            </w:r>
          </w:p>
        </w:tc>
        <w:tc>
          <w:tcPr>
            <w:tcW w:type="dxa" w:w="1800"/>
          </w:tcPr>
          <w:p>
            <w:r>
              <w:t xml:space="preserve">Vahekokkuvõte</w:t>
            </w:r>
          </w:p>
        </w:tc>
        <w:tc>
          <w:tcPr>
            <w:tcW w:type="dxa" w:w="1800"/>
          </w:tcPr>
          <w:p>
            <w:r>
              <w:t xml:space="preserve">Ühine arutelu</w:t>
            </w:r>
          </w:p>
        </w:tc>
        <w:tc>
          <w:tcPr>
            <w:tcW w:type="dxa" w:w="1000"/>
          </w:tcPr>
          <w:p>
            <w:r>
              <w:t xml:space="preserve">12 min</w:t>
            </w:r>
          </w:p>
        </w:tc>
        <w:tc>
          <w:tcPr>
            <w:tcW w:type="dxa" w:w="3800"/>
          </w:tcPr>
          <w:p>
            <w:r>
              <w:t xml:space="preserve">Koos arutletakse ja vaadatakse üle tekkinud mõtestamisviisid nende kahe olukorra analüüsimisel.
Koos tehakse olukordade jaoks ka skeem/joonis ning üldistatakse olukorrad.</w:t>
            </w:r>
          </w:p>
        </w:tc>
      </w:tr>
      <w:tr>
        <w:tc>
          <w:tcPr>
            <w:tcW w:type="dxa" w:w="600"/>
          </w:tcPr>
          <w:p>
            <w:r>
              <w:t xml:space="preserve">4</w:t>
            </w:r>
          </w:p>
        </w:tc>
        <w:tc>
          <w:tcPr>
            <w:tcW w:type="dxa" w:w="1800"/>
          </w:tcPr>
          <w:p>
            <w:r>
              <w:t xml:space="preserve">Kinnistamine</w:t>
            </w:r>
          </w:p>
        </w:tc>
        <w:tc>
          <w:tcPr>
            <w:tcW w:type="dxa" w:w="1800"/>
          </w:tcPr>
          <w:p>
            <w:r>
              <w:t xml:space="preserve">Individuaalne harjutamine</w:t>
            </w:r>
          </w:p>
        </w:tc>
        <w:tc>
          <w:tcPr>
            <w:tcW w:type="dxa" w:w="1000"/>
          </w:tcPr>
          <w:p>
            <w:r>
              <w:t xml:space="preserve">14 min</w:t>
            </w:r>
          </w:p>
        </w:tc>
        <w:tc>
          <w:tcPr>
            <w:tcW w:type="dxa" w:w="3800"/>
          </w:tcPr>
          <w:p>
            <w:r>
              <w:t xml:space="preserve">Lahendatakse iseseisvalt harjutusülesandeid tunni alguses õpitu kinnistamiseks.</w:t>
            </w:r>
          </w:p>
        </w:tc>
      </w:tr>
      <w:tr>
        <w:tc>
          <w:tcPr>
            <w:tcW w:type="dxa" w:w="600"/>
          </w:tcPr>
          <w:p>
            <w:r>
              <w:t xml:space="preserve">5</w:t>
            </w:r>
          </w:p>
        </w:tc>
        <w:tc>
          <w:tcPr>
            <w:tcW w:type="dxa" w:w="1800"/>
          </w:tcPr>
          <w:p>
            <w:r>
              <w:t xml:space="preserve">Väljapääsupilet</w:t>
            </w:r>
          </w:p>
        </w:tc>
        <w:tc>
          <w:tcPr>
            <w:tcW w:type="dxa" w:w="1800"/>
          </w:tcPr>
          <w:p>
            <w:r>
              <w:t xml:space="preserve">Refleksioon</w:t>
            </w:r>
          </w:p>
        </w:tc>
        <w:tc>
          <w:tcPr>
            <w:tcW w:type="dxa" w:w="1000"/>
          </w:tcPr>
          <w:p>
            <w:r>
              <w:t xml:space="preserve">4 min</w:t>
            </w:r>
          </w:p>
        </w:tc>
        <w:tc>
          <w:tcPr>
            <w:tcW w:type="dxa" w:w="3800"/>
          </w:tcPr>
          <w:p>
            <w:r>
              <w:t xml:space="preserve">Kui muutus on ühtlane, siis miks ei pea tulemus alati algama nullist?</w:t>
            </w:r>
          </w:p>
        </w:tc>
      </w:tr>
    </w:tbl>
    <w:p>
      <w:pPr>
        <w:pStyle w:val="Heading2"/>
        <w:spacing w:before="300"/>
      </w:pPr>
      <w:r>
        <w:t xml:space="preserve">Kasutatav õppevara</w:t>
      </w:r>
    </w:p>
    <w:p>
      <w:r>
        <w:t xml:space="preserve">Õppevara pole märgitud.</w:t>
      </w:r>
    </w:p>
    <w:p>
      <w:pPr>
        <w:pStyle w:val="Heading2"/>
        <w:spacing w:before="300"/>
      </w:pPr>
      <w:r>
        <w:t xml:space="preserve">Kodutöö</w:t>
      </w:r>
    </w:p>
    <w:p>
      <w:r>
        <w:t xml:space="preserve">Tuua kaks elulist näidet, kus alghetk võib olla erinev ühtlase muutuse korral. (seotud tänase teemaga)</w:t>
      </w:r>
    </w:p>
    <w:p>
      <w:pPr>
        <w:spacing w:before="400"/>
      </w:pPr>
    </w:p>
    <w:p>
      <w:pPr>
        <w:pBdr>
          <w:top w:val="single" w:color="CBD5E1" w:sz="6" w:space="4"/>
        </w:pBdr>
      </w:pPr>
      <w:r>
        <w:rPr>
          <w:color w:val="64748B"/>
          <w:sz w:val="18"/>
          <w:szCs w:val="18"/>
        </w:rPr>
        <w:t xml:space="preserve">Autor: Kerdi Mihhailova. Litsents: CC BY 4.0 (</w:t>
      </w:r>
      <w:hyperlink w:history="1" r:id="rIdfm12oe5gcpp6eqi9o7ocr">
        <w:r>
          <w:rPr>
            <w:color w:val="2563EB"/>
            <w:sz w:val="18"/>
            <w:szCs w:val="18"/>
            <w:u w:val="single"/>
          </w:rPr>
          <w:t xml:space="preserve">creativecommons.org/licenses/by/4.0</w:t>
        </w:r>
      </w:hyperlink>
      <w:r>
        <w:rPr>
          <w:color w:val="64748B"/>
          <w:sz w:val="18"/>
          <w:szCs w:val="18"/>
        </w:rPr>
        <w:t xml:space="preserve">). Allikas: LAHEMATIX tunnikavade galerii.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m12oe5gcpp6eqi9o7ocr" Type="http://schemas.openxmlformats.org/officeDocument/2006/relationships/hyperlink" Target="https://creativecommons.org/licenses/by/4.0/deed.et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2026-09-17T16:15:31.204Z</dcterms:created>
  <dcterms:modified xsi:type="dcterms:W3CDTF">2026-09-17T16:15:31.204Z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