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Lineaarse seose kirjutamine avaldisena y=ax+b</w:t>
      </w:r>
    </w:p>
    <w:p>
      <w:r>
        <w:t xml:space="preserve">Vanuseaste: 7.–9. klass</w:t>
      </w:r>
    </w:p>
    <w:p>
      <w:r>
        <w:t xml:space="preserve">Meetod: Toh</w:t>
      </w:r>
    </w:p>
    <w:p>
      <w:r>
        <w:t xml:space="preserve">Kestus: 45 min</w:t>
      </w:r>
    </w:p>
    <w:p>
      <w:r>
        <w:t xml:space="preserve">Autor: Kerdi Mihhailova (Teadur)</w:t>
      </w:r>
    </w:p>
    <w:p>
      <w:r>
        <w:t xml:space="preserve">Tüüp: Näidistund</w:t>
      </w:r>
    </w:p>
    <w:p>
      <w:pPr>
        <w:pStyle w:val="Heading2"/>
        <w:spacing w:before="300"/>
      </w:pPr>
      <w:r>
        <w:t xml:space="preserve">Tunni osad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1800"/>
        <w:gridCol w:w="1800"/>
        <w:gridCol w:w="1000"/>
        <w:gridCol w:w="3800"/>
      </w:tblGrid>
      <w:tr>
        <w:tc>
          <w:tcPr>
            <w:tcW w:type="dxa" w:w="600"/>
            <w:shd w:fill="E2E8F0" w:val="clear"/>
          </w:tcPr>
          <w:p>
            <w:r>
              <w:rPr>
                <w:b/>
                <w:bCs/>
              </w:rPr>
              <w:t xml:space="preserve">#</w:t>
            </w:r>
          </w:p>
        </w:tc>
        <w:tc>
          <w:tcPr>
            <w:tcW w:type="dxa" w:w="1800"/>
            <w:shd w:fill="E2E8F0" w:val="clear"/>
          </w:tcPr>
          <w:p>
            <w:r>
              <w:rPr>
                <w:b/>
                <w:bCs/>
              </w:rPr>
              <w:t xml:space="preserve">Osa nimetus</w:t>
            </w:r>
          </w:p>
        </w:tc>
        <w:tc>
          <w:tcPr>
            <w:tcW w:type="dxa" w:w="1800"/>
            <w:shd w:fill="E2E8F0" w:val="clear"/>
          </w:tcPr>
          <w:p>
            <w:r>
              <w:rPr>
                <w:b/>
                <w:bCs/>
              </w:rPr>
              <w:t xml:space="preserve">Tüüp</w:t>
            </w:r>
          </w:p>
        </w:tc>
        <w:tc>
          <w:tcPr>
            <w:tcW w:type="dxa" w:w="1000"/>
            <w:shd w:fill="E2E8F0" w:val="clear"/>
          </w:tcPr>
          <w:p>
            <w:r>
              <w:rPr>
                <w:b/>
                <w:bCs/>
              </w:rPr>
              <w:t xml:space="preserve">Kestus</w:t>
            </w:r>
          </w:p>
        </w:tc>
        <w:tc>
          <w:tcPr>
            <w:tcW w:type="dxa" w:w="3800"/>
            <w:shd w:fill="E2E8F0" w:val="clear"/>
          </w:tcPr>
          <w:p>
            <w:r>
              <w:rPr>
                <w:b/>
                <w:bCs/>
              </w:rPr>
              <w:t xml:space="preserve">Lühikirjeldus</w:t>
            </w:r>
          </w:p>
        </w:tc>
      </w:tr>
      <w:tr>
        <w:tc>
          <w:tcPr>
            <w:tcW w:type="dxa" w:w="600"/>
          </w:tcPr>
          <w:p>
            <w:r>
              <w:t xml:space="preserve">1</w:t>
            </w:r>
          </w:p>
        </w:tc>
        <w:tc>
          <w:tcPr>
            <w:tcW w:type="dxa" w:w="1800"/>
          </w:tcPr>
          <w:p>
            <w:r>
              <w:t xml:space="preserve">Häälestus</w:t>
            </w:r>
          </w:p>
        </w:tc>
        <w:tc>
          <w:tcPr>
            <w:tcW w:type="dxa" w:w="1800"/>
          </w:tcPr>
          <w:p>
            <w:r>
              <w:t xml:space="preserve">Ühine arutelu</w:t>
            </w:r>
          </w:p>
        </w:tc>
        <w:tc>
          <w:tcPr>
            <w:tcW w:type="dxa" w:w="1000"/>
          </w:tcPr>
          <w:p>
            <w:r>
              <w:t xml:space="preserve">8 min</w:t>
            </w:r>
          </w:p>
        </w:tc>
        <w:tc>
          <w:tcPr>
            <w:tcW w:type="dxa" w:w="3800"/>
          </w:tcPr>
          <w:p>
            <w:r>
              <w:t xml:space="preserve">Vaadeldakse kahte lineaarfunktsiooni graafikut, millest üks on tõusev ja teine langev ning mis lõikavad y-telge erinevates kohtades. Arutlemise käigus jõutakse mõisteteni tõusev, langev ja vabaliige.</w:t>
            </w:r>
          </w:p>
        </w:tc>
      </w:tr>
      <w:tr>
        <w:tc>
          <w:tcPr>
            <w:tcW w:type="dxa" w:w="600"/>
          </w:tcPr>
          <w:p>
            <w:r>
              <w:t xml:space="preserve">2</w:t>
            </w:r>
          </w:p>
        </w:tc>
        <w:tc>
          <w:tcPr>
            <w:tcW w:type="dxa" w:w="1800"/>
          </w:tcPr>
          <w:p>
            <w:r>
              <w:t xml:space="preserve">Graafiku seos valemiga</w:t>
            </w:r>
          </w:p>
        </w:tc>
        <w:tc>
          <w:tcPr>
            <w:tcW w:type="dxa" w:w="1800"/>
          </w:tcPr>
          <w:p>
            <w:r>
              <w:t xml:space="preserve">Individuaalne harjutamine</w:t>
            </w:r>
          </w:p>
        </w:tc>
        <w:tc>
          <w:tcPr>
            <w:tcW w:type="dxa" w:w="1000"/>
          </w:tcPr>
          <w:p>
            <w:r>
              <w:t xml:space="preserve">8 min</w:t>
            </w:r>
          </w:p>
        </w:tc>
        <w:tc>
          <w:tcPr>
            <w:tcW w:type="dxa" w:w="3800"/>
          </w:tcPr>
          <w:p>
            <w:r>
              <w:t xml:space="preserve">Iseseisvalt täidetakse nelja graafikuga tööleht "Graafikute analüüs"</w:t>
            </w:r>
          </w:p>
        </w:tc>
      </w:tr>
      <w:tr>
        <w:tc>
          <w:tcPr>
            <w:tcW w:type="dxa" w:w="600"/>
          </w:tcPr>
          <w:p>
            <w:r>
              <w:t xml:space="preserve">3</w:t>
            </w:r>
          </w:p>
        </w:tc>
        <w:tc>
          <w:tcPr>
            <w:tcW w:type="dxa" w:w="1800"/>
          </w:tcPr>
          <w:p>
            <w:r>
              <w:t xml:space="preserve">Valemini jõudmine</w:t>
            </w:r>
          </w:p>
        </w:tc>
        <w:tc>
          <w:tcPr>
            <w:tcW w:type="dxa" w:w="1800"/>
          </w:tcPr>
          <w:p>
            <w:r>
              <w:t xml:space="preserve">Ühine arutelu</w:t>
            </w:r>
          </w:p>
        </w:tc>
        <w:tc>
          <w:tcPr>
            <w:tcW w:type="dxa" w:w="1000"/>
          </w:tcPr>
          <w:p>
            <w:r>
              <w:t xml:space="preserve">8 min</w:t>
            </w:r>
          </w:p>
        </w:tc>
        <w:tc>
          <w:tcPr>
            <w:tcW w:type="dxa" w:w="3800"/>
          </w:tcPr>
          <w:p>
            <w:r>
              <w:t xml:space="preserve">Tööleht arutatakse koos läbi ning jõutakse valemi y=ax+b üldkujuni.</w:t>
            </w:r>
          </w:p>
        </w:tc>
      </w:tr>
      <w:tr>
        <w:tc>
          <w:tcPr>
            <w:tcW w:type="dxa" w:w="600"/>
          </w:tcPr>
          <w:p>
            <w:r>
              <w:t xml:space="preserve">4</w:t>
            </w:r>
          </w:p>
        </w:tc>
        <w:tc>
          <w:tcPr>
            <w:tcW w:type="dxa" w:w="1800"/>
          </w:tcPr>
          <w:p>
            <w:r>
              <w:t xml:space="preserve">Graafik-tabel-valem</w:t>
            </w:r>
          </w:p>
        </w:tc>
        <w:tc>
          <w:tcPr>
            <w:tcW w:type="dxa" w:w="1800"/>
          </w:tcPr>
          <w:p>
            <w:r>
              <w:t xml:space="preserve">Probleemilahendus rühmatööna</w:t>
            </w:r>
          </w:p>
        </w:tc>
        <w:tc>
          <w:tcPr>
            <w:tcW w:type="dxa" w:w="1000"/>
          </w:tcPr>
          <w:p>
            <w:r>
              <w:t xml:space="preserve">16 min</w:t>
            </w:r>
          </w:p>
        </w:tc>
        <w:tc>
          <w:tcPr>
            <w:tcW w:type="dxa" w:w="3800"/>
          </w:tcPr>
          <w:p>
            <w:r>
              <w:t xml:space="preserve">Graafik- tabel- valem, mis mida näitab ja kuidas on nad omavahel seotud. Mida näitab vabaliige ja mida tõus? Töö iseseisvalt ülesannetega "Lineaarfunktsioon: tõus ja vabaliige"</w:t>
            </w:r>
          </w:p>
        </w:tc>
      </w:tr>
      <w:tr>
        <w:tc>
          <w:tcPr>
            <w:tcW w:type="dxa" w:w="600"/>
          </w:tcPr>
          <w:p>
            <w:r>
              <w:t xml:space="preserve">5</w:t>
            </w:r>
          </w:p>
        </w:tc>
        <w:tc>
          <w:tcPr>
            <w:tcW w:type="dxa" w:w="1800"/>
          </w:tcPr>
          <w:p>
            <w:r>
              <w:t xml:space="preserve">Väljapääsupilet</w:t>
            </w:r>
          </w:p>
        </w:tc>
        <w:tc>
          <w:tcPr>
            <w:tcW w:type="dxa" w:w="1800"/>
          </w:tcPr>
          <w:p>
            <w:r>
              <w:t xml:space="preserve">Refleksioon</w:t>
            </w:r>
          </w:p>
        </w:tc>
        <w:tc>
          <w:tcPr>
            <w:tcW w:type="dxa" w:w="1000"/>
          </w:tcPr>
          <w:p>
            <w:r>
              <w:t xml:space="preserve">5 min</w:t>
            </w:r>
          </w:p>
        </w:tc>
        <w:tc>
          <w:tcPr>
            <w:tcW w:type="dxa" w:w="3800"/>
          </w:tcPr>
          <w:p>
            <w:r>
              <w:t xml:space="preserve">Mida tähendab a ja mida b valemis ning mida need mõjutavad?</w:t>
            </w:r>
          </w:p>
        </w:tc>
      </w:tr>
    </w:tbl>
    <w:p>
      <w:pPr>
        <w:pStyle w:val="Heading2"/>
        <w:spacing w:before="300"/>
      </w:pPr>
      <w:r>
        <w:t xml:space="preserve">Kasutatav õppevara</w:t>
      </w:r>
    </w:p>
    <w:p>
      <w:r>
        <w:t xml:space="preserve">Õppevara pole märgitud.</w:t>
      </w:r>
    </w:p>
    <w:p>
      <w:pPr>
        <w:pStyle w:val="Heading2"/>
        <w:spacing w:before="300"/>
      </w:pPr>
      <w:r>
        <w:t xml:space="preserve">Kodutöö</w:t>
      </w:r>
    </w:p>
    <w:p>
      <w:r>
        <w:t xml:space="preserve">Kodutööd pole määratud.</w:t>
      </w:r>
    </w:p>
    <w:p>
      <w:pPr>
        <w:spacing w:before="400"/>
      </w:pPr>
    </w:p>
    <w:p>
      <w:pPr>
        <w:pBdr>
          <w:top w:val="single" w:color="CBD5E1" w:sz="6" w:space="4"/>
        </w:pBdr>
      </w:pPr>
      <w:r>
        <w:rPr>
          <w:color w:val="64748B"/>
          <w:sz w:val="18"/>
          <w:szCs w:val="18"/>
        </w:rPr>
        <w:t xml:space="preserve">Autor: Kerdi Mihhailova. Litsents: CC BY 4.0 (</w:t>
      </w:r>
      <w:hyperlink w:history="1" r:id="rIdl9qg3khwyr33w3tkwrqtm">
        <w:r>
          <w:rPr>
            <w:color w:val="2563EB"/>
            <w:sz w:val="18"/>
            <w:szCs w:val="18"/>
            <w:u w:val="single"/>
          </w:rPr>
          <w:t xml:space="preserve">creativecommons.org/licenses/by/4.0</w:t>
        </w:r>
      </w:hyperlink>
      <w:r>
        <w:rPr>
          <w:color w:val="64748B"/>
          <w:sz w:val="18"/>
          <w:szCs w:val="18"/>
        </w:rPr>
        <w:t xml:space="preserve">). Allikas: LAHEMATIX tunnikavade galerii.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9qg3khwyr33w3tkwrqtm" Type="http://schemas.openxmlformats.org/officeDocument/2006/relationships/hyperlink" Target="https://creativecommons.org/licenses/by/4.0/deed.et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2026-09-17T16:14:46.543Z</dcterms:created>
  <dcterms:modified xsi:type="dcterms:W3CDTF">2026-09-17T16:14:46.543Z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