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Heuristika 3: Alusta lihtsamast</w:t>
      </w:r>
    </w:p>
    <w:p>
      <w:r>
        <w:t xml:space="preserve">Vanuseaste: 7.–9. klass</w:t>
      </w:r>
    </w:p>
    <w:p>
      <w:r>
        <w:t xml:space="preserve">Meetod: Boaler, Toh</w:t>
      </w:r>
    </w:p>
    <w:p>
      <w:r>
        <w:t xml:space="preserve">Kestus: 45 min</w:t>
      </w:r>
    </w:p>
    <w:p>
      <w:r>
        <w:t xml:space="preserve">Autor: Kerdi Mihhailova (Teadur)</w:t>
      </w:r>
    </w:p>
    <w:p>
      <w:r>
        <w:t xml:space="preserve">Tüüp: Näidistund</w:t>
      </w:r>
    </w:p>
    <w:p>
      <w:pPr>
        <w:pStyle w:val="Heading2"/>
        <w:spacing w:before="300"/>
      </w:pPr>
      <w:r>
        <w:t xml:space="preserve">Tunni osad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
        <w:gridCol w:w="1800"/>
        <w:gridCol w:w="1800"/>
        <w:gridCol w:w="1000"/>
        <w:gridCol w:w="3800"/>
      </w:tblGrid>
      <w:tr>
        <w:tc>
          <w:tcPr>
            <w:tcW w:type="dxa" w:w="600"/>
            <w:shd w:fill="E2E8F0" w:val="clear"/>
          </w:tcPr>
          <w:p>
            <w:r>
              <w:rPr>
                <w:b/>
                <w:bCs/>
              </w:rPr>
              <w:t xml:space="preserve">#</w:t>
            </w:r>
          </w:p>
        </w:tc>
        <w:tc>
          <w:tcPr>
            <w:tcW w:type="dxa" w:w="1800"/>
            <w:shd w:fill="E2E8F0" w:val="clear"/>
          </w:tcPr>
          <w:p>
            <w:r>
              <w:rPr>
                <w:b/>
                <w:bCs/>
              </w:rPr>
              <w:t xml:space="preserve">Osa nimetus</w:t>
            </w:r>
          </w:p>
        </w:tc>
        <w:tc>
          <w:tcPr>
            <w:tcW w:type="dxa" w:w="1800"/>
            <w:shd w:fill="E2E8F0" w:val="clear"/>
          </w:tcPr>
          <w:p>
            <w:r>
              <w:rPr>
                <w:b/>
                <w:bCs/>
              </w:rPr>
              <w:t xml:space="preserve">Tüüp</w:t>
            </w:r>
          </w:p>
        </w:tc>
        <w:tc>
          <w:tcPr>
            <w:tcW w:type="dxa" w:w="1000"/>
            <w:shd w:fill="E2E8F0" w:val="clear"/>
          </w:tcPr>
          <w:p>
            <w:r>
              <w:rPr>
                <w:b/>
                <w:bCs/>
              </w:rPr>
              <w:t xml:space="preserve">Kestus</w:t>
            </w:r>
          </w:p>
        </w:tc>
        <w:tc>
          <w:tcPr>
            <w:tcW w:type="dxa" w:w="3800"/>
            <w:shd w:fill="E2E8F0" w:val="clear"/>
          </w:tcPr>
          <w:p>
            <w:r>
              <w:rPr>
                <w:b/>
                <w:bCs/>
              </w:rPr>
              <w:t xml:space="preserve">Lühikirjeldus</w:t>
            </w:r>
          </w:p>
        </w:tc>
      </w:tr>
      <w:tr>
        <w:tc>
          <w:tcPr>
            <w:tcW w:type="dxa" w:w="600"/>
          </w:tcPr>
          <w:p>
            <w:r>
              <w:t xml:space="preserve">1</w:t>
            </w:r>
          </w:p>
        </w:tc>
        <w:tc>
          <w:tcPr>
            <w:tcW w:type="dxa" w:w="1800"/>
          </w:tcPr>
          <w:p>
            <w:r>
              <w:t xml:space="preserve">Häälestus</w:t>
            </w:r>
          </w:p>
        </w:tc>
        <w:tc>
          <w:tcPr>
            <w:tcW w:type="dxa" w:w="1800"/>
          </w:tcPr>
          <w:p>
            <w:r>
              <w:t xml:space="preserve">Ühine arutelu</w:t>
            </w:r>
          </w:p>
        </w:tc>
        <w:tc>
          <w:tcPr>
            <w:tcW w:type="dxa" w:w="1000"/>
          </w:tcPr>
          <w:p>
            <w:r>
              <w:t xml:space="preserve">5 min</w:t>
            </w:r>
          </w:p>
        </w:tc>
        <w:tc>
          <w:tcPr>
            <w:tcW w:type="dxa" w:w="3800"/>
          </w:tcPr>
          <w:p>
            <w:r>
              <w:t xml:space="preserve">Küsimus klassile: "Kuidas õpitakse jalgrattaga sõitma? Kas alustatakse kohe mäest alla sõites? Või kõigepealt tasasel maal?" Arutelu viiakse mõtteni, et uusi oskusi omandatakse sageli lihtsamate näidete kaudu. Õpetaja seob selle matemaatikaga: "Ka matemaatikas võib kõigepealt lahendada lihtsama variandi."</w:t>
            </w:r>
          </w:p>
        </w:tc>
      </w:tr>
      <w:tr>
        <w:tc>
          <w:tcPr>
            <w:tcW w:type="dxa" w:w="600"/>
          </w:tcPr>
          <w:p>
            <w:r>
              <w:t xml:space="preserve">2</w:t>
            </w:r>
          </w:p>
        </w:tc>
        <w:tc>
          <w:tcPr>
            <w:tcW w:type="dxa" w:w="1800"/>
          </w:tcPr>
          <w:p>
            <w:r>
              <w:t xml:space="preserve">Avastusülesanne</w:t>
            </w:r>
          </w:p>
        </w:tc>
        <w:tc>
          <w:tcPr>
            <w:tcW w:type="dxa" w:w="1800"/>
          </w:tcPr>
          <w:p>
            <w:r>
              <w:t xml:space="preserve">Individuaalne probleemilahendus</w:t>
            </w:r>
          </w:p>
        </w:tc>
        <w:tc>
          <w:tcPr>
            <w:tcW w:type="dxa" w:w="1000"/>
          </w:tcPr>
          <w:p>
            <w:r>
              <w:t xml:space="preserve">10 min</w:t>
            </w:r>
          </w:p>
        </w:tc>
        <w:tc>
          <w:tcPr>
            <w:tcW w:type="dxa" w:w="3800"/>
          </w:tcPr>
          <w:p>
            <w:r>
              <w:t xml:space="preserve">Mitu diagonaali on: nelinurgal? viisnurgal? kuusnurgal? seitsenurgal? Seejärel küsi: Aga mitu diagonaali on 25-tipulisel hulknurgal? Õpilased tõenäoliselt ei oska kohe vastata. Õpetaja ei anna valemit.</w:t>
            </w:r>
          </w:p>
        </w:tc>
      </w:tr>
      <w:tr>
        <w:tc>
          <w:tcPr>
            <w:tcW w:type="dxa" w:w="600"/>
          </w:tcPr>
          <w:p>
            <w:r>
              <w:t xml:space="preserve">3</w:t>
            </w:r>
          </w:p>
        </w:tc>
        <w:tc>
          <w:tcPr>
            <w:tcW w:type="dxa" w:w="1800"/>
          </w:tcPr>
          <w:p>
            <w:r>
              <w:t xml:space="preserve">Ülesane avamine</w:t>
            </w:r>
          </w:p>
        </w:tc>
        <w:tc>
          <w:tcPr>
            <w:tcW w:type="dxa" w:w="1800"/>
          </w:tcPr>
          <w:p>
            <w:r>
              <w:t xml:space="preserve">Ühine arutelu</w:t>
            </w:r>
          </w:p>
        </w:tc>
        <w:tc>
          <w:tcPr>
            <w:tcW w:type="dxa" w:w="1000"/>
          </w:tcPr>
          <w:p>
            <w:r>
              <w:t xml:space="preserve">10 min</w:t>
            </w:r>
          </w:p>
        </w:tc>
        <w:tc>
          <w:tcPr>
            <w:tcW w:type="dxa" w:w="3800"/>
          </w:tcPr>
          <w:p>
            <w:r>
              <w:t xml:space="preserve">Arutelu: Millest alustasid? Kas keegi alustas nelinurgast? Miks mitte kohe 25-tipulisest hulknurgast? Kas märkasid seaduspära? Koos täidetakse tabel ja siis arutatakse, kuidas tabel aitab edasi.</w:t>
            </w:r>
          </w:p>
        </w:tc>
      </w:tr>
      <w:tr>
        <w:tc>
          <w:tcPr>
            <w:tcW w:type="dxa" w:w="600"/>
          </w:tcPr>
          <w:p>
            <w:r>
              <w:t xml:space="preserve">4</w:t>
            </w:r>
          </w:p>
        </w:tc>
        <w:tc>
          <w:tcPr>
            <w:tcW w:type="dxa" w:w="1800"/>
          </w:tcPr>
          <w:p>
            <w:r>
              <w:t xml:space="preserve">Heuristika sõnastamine</w:t>
            </w:r>
          </w:p>
        </w:tc>
        <w:tc>
          <w:tcPr>
            <w:tcW w:type="dxa" w:w="1800"/>
          </w:tcPr>
          <w:p>
            <w:r>
              <w:t xml:space="preserve">Ühine arutelu</w:t>
            </w:r>
          </w:p>
        </w:tc>
        <w:tc>
          <w:tcPr>
            <w:tcW w:type="dxa" w:w="1000"/>
          </w:tcPr>
          <w:p>
            <w:r>
              <w:t xml:space="preserve">2 min</w:t>
            </w:r>
          </w:p>
        </w:tc>
        <w:tc>
          <w:tcPr>
            <w:tcW w:type="dxa" w:w="3800"/>
          </w:tcPr>
          <w:p>
            <w:r>
              <w:t xml:space="preserve">Koos sõnastatakse: "Kui ülesanne tundub liiga raske, lahenda kõigepealt lihtsam või väiksem juht."</w:t>
            </w:r>
          </w:p>
        </w:tc>
      </w:tr>
      <w:tr>
        <w:tc>
          <w:tcPr>
            <w:tcW w:type="dxa" w:w="600"/>
          </w:tcPr>
          <w:p>
            <w:r>
              <w:t xml:space="preserve">5</w:t>
            </w:r>
          </w:p>
        </w:tc>
        <w:tc>
          <w:tcPr>
            <w:tcW w:type="dxa" w:w="1800"/>
          </w:tcPr>
          <w:p>
            <w:r>
              <w:t xml:space="preserve">Rakendamine</w:t>
            </w:r>
          </w:p>
        </w:tc>
        <w:tc>
          <w:tcPr>
            <w:tcW w:type="dxa" w:w="1800"/>
          </w:tcPr>
          <w:p>
            <w:r>
              <w:t xml:space="preserve">Individuaalne harjutamine</w:t>
            </w:r>
          </w:p>
        </w:tc>
        <w:tc>
          <w:tcPr>
            <w:tcW w:type="dxa" w:w="1000"/>
          </w:tcPr>
          <w:p>
            <w:r>
              <w:t xml:space="preserve">8 min</w:t>
            </w:r>
          </w:p>
        </w:tc>
        <w:tc>
          <w:tcPr>
            <w:tcW w:type="dxa" w:w="3800"/>
          </w:tcPr>
          <w:p>
            <w:r>
              <w:t xml:space="preserve">lahendada ülesanne:"Mitmel erineval viisil saab ühendada 5 punkti sirglõikudega nii, et ükski sirglõik ei lõiku?"</w:t>
            </w:r>
          </w:p>
        </w:tc>
      </w:tr>
      <w:tr>
        <w:tc>
          <w:tcPr>
            <w:tcW w:type="dxa" w:w="600"/>
          </w:tcPr>
          <w:p>
            <w:r>
              <w:t xml:space="preserve">6</w:t>
            </w:r>
          </w:p>
        </w:tc>
        <w:tc>
          <w:tcPr>
            <w:tcW w:type="dxa" w:w="1800"/>
          </w:tcPr>
          <w:p>
            <w:r>
              <w:t xml:space="preserve">Ülesande reflektsioon</w:t>
            </w:r>
          </w:p>
        </w:tc>
        <w:tc>
          <w:tcPr>
            <w:tcW w:type="dxa" w:w="1800"/>
          </w:tcPr>
          <w:p>
            <w:r>
              <w:t xml:space="preserve">Ühine arutelu</w:t>
            </w:r>
          </w:p>
        </w:tc>
        <w:tc>
          <w:tcPr>
            <w:tcW w:type="dxa" w:w="1000"/>
          </w:tcPr>
          <w:p>
            <w:r>
              <w:t xml:space="preserve">6 min</w:t>
            </w:r>
          </w:p>
        </w:tc>
        <w:tc>
          <w:tcPr>
            <w:tcW w:type="dxa" w:w="3800"/>
          </w:tcPr>
          <w:p>
            <w:r>
              <w:t xml:space="preserve">Mis võimalused olid ülesande lahendamiseks? kas keegi lahendas alul ka lihtsama ülesande? kas lihtsam ülesanne aitas märgata seaduspära? Millal võiks seda võtet veel kasutada? kas nüüd saaks seda ka suurema punktide arvu ühendamiseks kasutada?</w:t>
            </w:r>
          </w:p>
        </w:tc>
      </w:tr>
      <w:tr>
        <w:tc>
          <w:tcPr>
            <w:tcW w:type="dxa" w:w="600"/>
          </w:tcPr>
          <w:p>
            <w:r>
              <w:t xml:space="preserve">7</w:t>
            </w:r>
          </w:p>
        </w:tc>
        <w:tc>
          <w:tcPr>
            <w:tcW w:type="dxa" w:w="1800"/>
          </w:tcPr>
          <w:p>
            <w:r>
              <w:t xml:space="preserve">Lihtsama juhu tähtsus</w:t>
            </w:r>
          </w:p>
        </w:tc>
        <w:tc>
          <w:tcPr>
            <w:tcW w:type="dxa" w:w="1800"/>
          </w:tcPr>
          <w:p>
            <w:r>
              <w:t xml:space="preserve">Refleksioon</w:t>
            </w:r>
          </w:p>
        </w:tc>
        <w:tc>
          <w:tcPr>
            <w:tcW w:type="dxa" w:w="1000"/>
          </w:tcPr>
          <w:p>
            <w:r>
              <w:t xml:space="preserve">4 min</w:t>
            </w:r>
          </w:p>
        </w:tc>
        <w:tc>
          <w:tcPr>
            <w:tcW w:type="dxa" w:w="3800"/>
          </w:tcPr>
          <w:p>
            <w:r>
              <w:t xml:space="preserve">Kuidas probleemi mõistmine, probleemi nähtavaks tegemine ja lihtsamast juhust alustamine on omavahel seotud etapid.</w:t>
            </w:r>
          </w:p>
        </w:tc>
      </w:tr>
    </w:tbl>
    <w:p>
      <w:pPr>
        <w:pStyle w:val="Heading2"/>
        <w:spacing w:before="300"/>
      </w:pPr>
      <w:r>
        <w:t xml:space="preserve">Kasutatav õppevara</w:t>
      </w:r>
    </w:p>
    <w:p>
      <w:r>
        <w:t xml:space="preserve">Õppevara pole märgitud.</w:t>
      </w:r>
    </w:p>
    <w:p>
      <w:pPr>
        <w:pStyle w:val="Heading2"/>
        <w:spacing w:before="300"/>
      </w:pPr>
      <w:r>
        <w:t xml:space="preserve">Kodutöö</w:t>
      </w:r>
    </w:p>
    <w:p>
      <w:r>
        <w:t xml:space="preserve">Kodutööd pole määratud.</w:t>
      </w:r>
    </w:p>
    <w:p>
      <w:pPr>
        <w:spacing w:before="400"/>
      </w:pPr>
    </w:p>
    <w:p>
      <w:pPr>
        <w:pBdr>
          <w:top w:val="single" w:color="CBD5E1" w:sz="6" w:space="4"/>
        </w:pBdr>
      </w:pPr>
      <w:r>
        <w:rPr>
          <w:color w:val="64748B"/>
          <w:sz w:val="18"/>
          <w:szCs w:val="18"/>
        </w:rPr>
        <w:t xml:space="preserve">Autor: Kerdi Mihhailova. Litsents: CC BY 4.0 (</w:t>
      </w:r>
      <w:hyperlink w:history="1" r:id="rIdglwgvmyxbe0s-842nt3x9">
        <w:r>
          <w:rPr>
            <w:color w:val="2563EB"/>
            <w:sz w:val="18"/>
            <w:szCs w:val="18"/>
            <w:u w:val="single"/>
          </w:rPr>
          <w:t xml:space="preserve">creativecommons.org/licenses/by/4.0</w:t>
        </w:r>
      </w:hyperlink>
      <w:r>
        <w:rPr>
          <w:color w:val="64748B"/>
          <w:sz w:val="18"/>
          <w:szCs w:val="18"/>
        </w:rPr>
        <w:t xml:space="preserve">). Allikas: LAHEMATIX tunnikavade galerii.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lwgvmyxbe0s-842nt3x9" Type="http://schemas.openxmlformats.org/officeDocument/2006/relationships/hyperlink" Target="https://creativecommons.org/licenses/by/4.0/deed.et"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2026-09-17T16:09:08.100Z</dcterms:created>
  <dcterms:modified xsi:type="dcterms:W3CDTF">2026-09-17T16:09:08.100Z</dcterms:modified>
</cp:coreProperties>
</file>

<file path=docProps/custom.xml><?xml version="1.0" encoding="utf-8"?>
<Properties xmlns="http://schemas.openxmlformats.org/officeDocument/2006/custom-properties" xmlns:vt="http://schemas.openxmlformats.org/officeDocument/2006/docPropsVTypes"/>
</file>