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Heuristika 5: Tööta tagurpidi</w:t>
      </w:r>
    </w:p>
    <w:p>
      <w:r>
        <w:t xml:space="preserve">Vanuseaste: 7.–9. klass</w:t>
      </w:r>
    </w:p>
    <w:p>
      <w:r>
        <w:t xml:space="preserve">Meetod: Boaler, Toh</w:t>
      </w:r>
    </w:p>
    <w:p>
      <w:r>
        <w:t xml:space="preserve">Kestus: 45 min</w:t>
      </w:r>
    </w:p>
    <w:p>
      <w:r>
        <w:t xml:space="preserve">Autor: Kerdi Mihhailova (Teadur)</w:t>
      </w:r>
    </w:p>
    <w:p>
      <w:r>
        <w:t xml:space="preserve">Tüüp: Näidistund</w:t>
      </w:r>
    </w:p>
    <w:p>
      <w:pPr>
        <w:pStyle w:val="Heading2"/>
        <w:spacing w:before="300"/>
      </w:pPr>
      <w:r>
        <w:t xml:space="preserve">Tunni osad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
        <w:gridCol w:w="1800"/>
        <w:gridCol w:w="1800"/>
        <w:gridCol w:w="1000"/>
        <w:gridCol w:w="3800"/>
      </w:tblGrid>
      <w:tr>
        <w:tc>
          <w:tcPr>
            <w:tcW w:type="dxa" w:w="600"/>
            <w:shd w:fill="E2E8F0" w:val="clear"/>
          </w:tcPr>
          <w:p>
            <w:r>
              <w:rPr>
                <w:b/>
                <w:bCs/>
              </w:rPr>
              <w:t xml:space="preserve">#</w:t>
            </w:r>
          </w:p>
        </w:tc>
        <w:tc>
          <w:tcPr>
            <w:tcW w:type="dxa" w:w="1800"/>
            <w:shd w:fill="E2E8F0" w:val="clear"/>
          </w:tcPr>
          <w:p>
            <w:r>
              <w:rPr>
                <w:b/>
                <w:bCs/>
              </w:rPr>
              <w:t xml:space="preserve">Osa nimetus</w:t>
            </w:r>
          </w:p>
        </w:tc>
        <w:tc>
          <w:tcPr>
            <w:tcW w:type="dxa" w:w="1800"/>
            <w:shd w:fill="E2E8F0" w:val="clear"/>
          </w:tcPr>
          <w:p>
            <w:r>
              <w:rPr>
                <w:b/>
                <w:bCs/>
              </w:rPr>
              <w:t xml:space="preserve">Tüüp</w:t>
            </w:r>
          </w:p>
        </w:tc>
        <w:tc>
          <w:tcPr>
            <w:tcW w:type="dxa" w:w="1000"/>
            <w:shd w:fill="E2E8F0" w:val="clear"/>
          </w:tcPr>
          <w:p>
            <w:r>
              <w:rPr>
                <w:b/>
                <w:bCs/>
              </w:rPr>
              <w:t xml:space="preserve">Kestus</w:t>
            </w:r>
          </w:p>
        </w:tc>
        <w:tc>
          <w:tcPr>
            <w:tcW w:type="dxa" w:w="3800"/>
            <w:shd w:fill="E2E8F0" w:val="clear"/>
          </w:tcPr>
          <w:p>
            <w:r>
              <w:rPr>
                <w:b/>
                <w:bCs/>
              </w:rPr>
              <w:t xml:space="preserve">Lühikirjeldus</w:t>
            </w:r>
          </w:p>
        </w:tc>
      </w:tr>
      <w:tr>
        <w:tc>
          <w:tcPr>
            <w:tcW w:type="dxa" w:w="600"/>
          </w:tcPr>
          <w:p>
            <w:r>
              <w:t xml:space="preserve">1</w:t>
            </w:r>
          </w:p>
        </w:tc>
        <w:tc>
          <w:tcPr>
            <w:tcW w:type="dxa" w:w="1800"/>
          </w:tcPr>
          <w:p>
            <w:r>
              <w:t xml:space="preserve">Häälestamine</w:t>
            </w:r>
          </w:p>
        </w:tc>
        <w:tc>
          <w:tcPr>
            <w:tcW w:type="dxa" w:w="1800"/>
          </w:tcPr>
          <w:p>
            <w:r>
              <w:t xml:space="preserve">Ühine arutelu</w:t>
            </w:r>
          </w:p>
        </w:tc>
        <w:tc>
          <w:tcPr>
            <w:tcW w:type="dxa" w:w="1000"/>
          </w:tcPr>
          <w:p>
            <w:r>
              <w:t xml:space="preserve">5 min</w:t>
            </w:r>
          </w:p>
        </w:tc>
        <w:tc>
          <w:tcPr>
            <w:tcW w:type="dxa" w:w="3800"/>
          </w:tcPr>
          <w:p>
            <w:r>
              <w:t xml:space="preserve">Õpetaja jagab õpilastele klassikalised labürindid ja küsib.  Kas oled kunagi proovinud labürinti lahendada alustades väljapääsust? Arutelu. Kas see võib mõnikord olla lihtsam? Miks? Seejärel seos matemaatikaga. Ka matemaatikas võib mõnikord olla lihtsam liikuda vastusest tagasi algusesse.</w:t>
            </w:r>
          </w:p>
        </w:tc>
      </w:tr>
      <w:tr>
        <w:tc>
          <w:tcPr>
            <w:tcW w:type="dxa" w:w="600"/>
          </w:tcPr>
          <w:p>
            <w:r>
              <w:t xml:space="preserve">2</w:t>
            </w:r>
          </w:p>
        </w:tc>
        <w:tc>
          <w:tcPr>
            <w:tcW w:type="dxa" w:w="1800"/>
          </w:tcPr>
          <w:p>
            <w:r>
              <w:t xml:space="preserve">Avastusülesanne</w:t>
            </w:r>
          </w:p>
        </w:tc>
        <w:tc>
          <w:tcPr>
            <w:tcW w:type="dxa" w:w="1800"/>
          </w:tcPr>
          <w:p>
            <w:r>
              <w:t xml:space="preserve">Probleemilahendus rühmatööna</w:t>
            </w:r>
          </w:p>
        </w:tc>
        <w:tc>
          <w:tcPr>
            <w:tcW w:type="dxa" w:w="1000"/>
          </w:tcPr>
          <w:p>
            <w:r>
              <w:t xml:space="preserve">6 min</w:t>
            </w:r>
          </w:p>
        </w:tc>
        <w:tc>
          <w:tcPr>
            <w:tcW w:type="dxa" w:w="3800"/>
          </w:tcPr>
          <w:p>
            <w:r>
              <w:t xml:space="preserve">Mari mõtles ühe arvu.  Ta korrutas selle arvuga 3. Liitis tulemusele 8. Jagas saadud arvu 2-ga. Sai vastuseks 19. Millise arvu mõtles Mari? Ära hakka kohe võrrandit koostama. Õpetaja küsimused: Kuidas võiks seda lahendada? Kas saab liikuda samm-sammult tagasi?</w:t>
            </w:r>
          </w:p>
        </w:tc>
      </w:tr>
      <w:tr>
        <w:tc>
          <w:tcPr>
            <w:tcW w:type="dxa" w:w="600"/>
          </w:tcPr>
          <w:p>
            <w:r>
              <w:t xml:space="preserve">3</w:t>
            </w:r>
          </w:p>
        </w:tc>
        <w:tc>
          <w:tcPr>
            <w:tcW w:type="dxa" w:w="1800"/>
          </w:tcPr>
          <w:p>
            <w:r>
              <w:t xml:space="preserve">Lahenduse eri viisid</w:t>
            </w:r>
          </w:p>
        </w:tc>
        <w:tc>
          <w:tcPr>
            <w:tcW w:type="dxa" w:w="1800"/>
          </w:tcPr>
          <w:p>
            <w:r>
              <w:t xml:space="preserve">Ühine arutelu</w:t>
            </w:r>
          </w:p>
        </w:tc>
        <w:tc>
          <w:tcPr>
            <w:tcW w:type="dxa" w:w="1000"/>
          </w:tcPr>
          <w:p>
            <w:r>
              <w:t xml:space="preserve">10 min</w:t>
            </w:r>
          </w:p>
        </w:tc>
        <w:tc>
          <w:tcPr>
            <w:tcW w:type="dxa" w:w="3800"/>
          </w:tcPr>
          <w:p>
            <w:r>
              <w:t xml:space="preserve">Õpetaja on lahendamise ajal klassis ringi liikunud ning küsib kahelt erineva lahenduskäiguga õpilaselt nende lahenduskäike. Õpetaja kirjutab kaks lahenduskäiku tahvlile (nii edaspidise kui ka tagurpidise). Koos arutletakse: Kumb tundub lihtsam? Miks? Millal võiks tagurpidi töötamine olla eriti kasulik?</w:t>
            </w:r>
          </w:p>
        </w:tc>
      </w:tr>
      <w:tr>
        <w:tc>
          <w:tcPr>
            <w:tcW w:type="dxa" w:w="600"/>
          </w:tcPr>
          <w:p>
            <w:r>
              <w:t xml:space="preserve">4</w:t>
            </w:r>
          </w:p>
        </w:tc>
        <w:tc>
          <w:tcPr>
            <w:tcW w:type="dxa" w:w="1800"/>
          </w:tcPr>
          <w:p>
            <w:r>
              <w:t xml:space="preserve">Heuristika sõnastamine</w:t>
            </w:r>
          </w:p>
        </w:tc>
        <w:tc>
          <w:tcPr>
            <w:tcW w:type="dxa" w:w="1800"/>
          </w:tcPr>
          <w:p>
            <w:r>
              <w:t xml:space="preserve">Õpetaja esitlus</w:t>
            </w:r>
          </w:p>
        </w:tc>
        <w:tc>
          <w:tcPr>
            <w:tcW w:type="dxa" w:w="1000"/>
          </w:tcPr>
          <w:p>
            <w:r>
              <w:t xml:space="preserve">5 min</w:t>
            </w:r>
          </w:p>
        </w:tc>
        <w:tc>
          <w:tcPr>
            <w:tcW w:type="dxa" w:w="3800"/>
          </w:tcPr>
          <w:p>
            <w:r>
              <w:t xml:space="preserve">Koos sõnastatakse. Kui tead lõpptulemust, võib olla lihtsam liikuda samm-sammult tagasi alguseni. Õpetaja rõhutab. Tagurpidi töötamine ei sobi alati. Hea probleemilahendaja otsustab ise, millal seda kasutada.</w:t>
            </w:r>
          </w:p>
        </w:tc>
      </w:tr>
      <w:tr>
        <w:tc>
          <w:tcPr>
            <w:tcW w:type="dxa" w:w="600"/>
          </w:tcPr>
          <w:p>
            <w:r>
              <w:t xml:space="preserve">5</w:t>
            </w:r>
          </w:p>
        </w:tc>
        <w:tc>
          <w:tcPr>
            <w:tcW w:type="dxa" w:w="1800"/>
          </w:tcPr>
          <w:p>
            <w:r>
              <w:t xml:space="preserve">Rakendamine</w:t>
            </w:r>
          </w:p>
        </w:tc>
        <w:tc>
          <w:tcPr>
            <w:tcW w:type="dxa" w:w="1800"/>
          </w:tcPr>
          <w:p>
            <w:r>
              <w:t xml:space="preserve">Individuaalne harjutamine</w:t>
            </w:r>
          </w:p>
        </w:tc>
        <w:tc>
          <w:tcPr>
            <w:tcW w:type="dxa" w:w="1000"/>
          </w:tcPr>
          <w:p>
            <w:r>
              <w:t xml:space="preserve">14 min</w:t>
            </w:r>
          </w:p>
        </w:tc>
        <w:tc>
          <w:tcPr>
            <w:tcW w:type="dxa" w:w="3800"/>
          </w:tcPr>
          <w:p>
            <w:r>
              <w:t xml:space="preserve">Robot alustab ruudustikul punktist A. Ta teeb järjest järgmised liigutused. 4 sammu paremale, 3 sammu üles, 2 sammu vasakule, 5 sammu alla. Robot lõpetab punktis B. Kui robot tahab minna sama teed tagasi, milliseid samme peab ta tegema? Kas oskad koostada üldreegli? Lisaks veel paar ülesannet õpilastel lahendamiseks.</w:t>
            </w:r>
          </w:p>
        </w:tc>
      </w:tr>
      <w:tr>
        <w:tc>
          <w:tcPr>
            <w:tcW w:type="dxa" w:w="600"/>
          </w:tcPr>
          <w:p>
            <w:r>
              <w:t xml:space="preserve">6</w:t>
            </w:r>
          </w:p>
        </w:tc>
        <w:tc>
          <w:tcPr>
            <w:tcW w:type="dxa" w:w="1800"/>
          </w:tcPr>
          <w:p>
            <w:r>
              <w:t xml:space="preserve">Tunni kokkuvõte</w:t>
            </w:r>
          </w:p>
        </w:tc>
        <w:tc>
          <w:tcPr>
            <w:tcW w:type="dxa" w:w="1800"/>
          </w:tcPr>
          <w:p>
            <w:r>
              <w:t xml:space="preserve">Refleksioon</w:t>
            </w:r>
          </w:p>
        </w:tc>
        <w:tc>
          <w:tcPr>
            <w:tcW w:type="dxa" w:w="1000"/>
          </w:tcPr>
          <w:p>
            <w:r>
              <w:t xml:space="preserve">5 min</w:t>
            </w:r>
          </w:p>
        </w:tc>
        <w:tc>
          <w:tcPr>
            <w:tcW w:type="dxa" w:w="3800"/>
          </w:tcPr>
          <w:p>
            <w:r>
              <w:t xml:space="preserve">Millal otsustasin töötada tagurpidi? Kuidas see aitas? Kas oleks saanud lahendada ka teisiti? Millistes ülesannetes võiks seda veel kasutada?</w:t>
            </w:r>
          </w:p>
        </w:tc>
      </w:tr>
    </w:tbl>
    <w:p>
      <w:pPr>
        <w:pStyle w:val="Heading2"/>
        <w:spacing w:before="300"/>
      </w:pPr>
      <w:r>
        <w:t xml:space="preserve">Kasutatav õppevara</w:t>
      </w:r>
    </w:p>
    <w:p>
      <w:r>
        <w:t xml:space="preserve">Õppevara pole märgitud.</w:t>
      </w:r>
    </w:p>
    <w:p>
      <w:pPr>
        <w:pStyle w:val="Heading2"/>
        <w:spacing w:before="300"/>
      </w:pPr>
      <w:r>
        <w:t xml:space="preserve">Kodutöö</w:t>
      </w:r>
    </w:p>
    <w:p>
      <w:r>
        <w:t xml:space="preserve">Kodutööd pole määratud.</w:t>
      </w:r>
    </w:p>
    <w:p>
      <w:pPr>
        <w:spacing w:before="400"/>
      </w:pPr>
    </w:p>
    <w:p>
      <w:pPr>
        <w:pBdr>
          <w:top w:val="single" w:color="CBD5E1" w:sz="6" w:space="4"/>
        </w:pBdr>
      </w:pPr>
      <w:r>
        <w:rPr>
          <w:color w:val="64748B"/>
          <w:sz w:val="18"/>
          <w:szCs w:val="18"/>
        </w:rPr>
        <w:t xml:space="preserve">Autor: Kerdi Mihhailova. Litsents: CC BY 4.0 (</w:t>
      </w:r>
      <w:hyperlink w:history="1" r:id="rIdhvilx78zizn09w5hzoyww">
        <w:r>
          <w:rPr>
            <w:color w:val="2563EB"/>
            <w:sz w:val="18"/>
            <w:szCs w:val="18"/>
            <w:u w:val="single"/>
          </w:rPr>
          <w:t xml:space="preserve">creativecommons.org/licenses/by/4.0</w:t>
        </w:r>
      </w:hyperlink>
      <w:r>
        <w:rPr>
          <w:color w:val="64748B"/>
          <w:sz w:val="18"/>
          <w:szCs w:val="18"/>
        </w:rPr>
        <w:t xml:space="preserve">). Allikas: LAHEMATIX tunnikavade galerii.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vilx78zizn09w5hzoyww" Type="http://schemas.openxmlformats.org/officeDocument/2006/relationships/hyperlink" Target="https://creativecommons.org/licenses/by/4.0/deed.et"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2026-09-17T16:09:19.973Z</dcterms:created>
  <dcterms:modified xsi:type="dcterms:W3CDTF">2026-09-17T16:09:19.973Z</dcterms:modified>
</cp:coreProperties>
</file>

<file path=docProps/custom.xml><?xml version="1.0" encoding="utf-8"?>
<Properties xmlns="http://schemas.openxmlformats.org/officeDocument/2006/custom-properties" xmlns:vt="http://schemas.openxmlformats.org/officeDocument/2006/docPropsVTypes"/>
</file>