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Probleemülesannete süvatund- heuristikate rakendamine</w:t>
      </w:r>
    </w:p>
    <w:p>
      <w:r>
        <w:t xml:space="preserve">Vanuseaste: 7.–9. klass</w:t>
      </w:r>
    </w:p>
    <w:p>
      <w:r>
        <w:t xml:space="preserve">Meetod: Boaler, Toh</w:t>
      </w:r>
    </w:p>
    <w:p>
      <w:r>
        <w:t xml:space="preserve">Kestus: 45 min</w:t>
      </w:r>
    </w:p>
    <w:p>
      <w:r>
        <w:t xml:space="preserve">Autor: Kerdi Mihhailova (Teadur)</w:t>
      </w:r>
    </w:p>
    <w:p>
      <w:r>
        <w:t xml:space="preserve">Tüüp: Näidistund</w:t>
      </w:r>
    </w:p>
    <w:p>
      <w:pPr>
        <w:pStyle w:val="Heading2"/>
        <w:spacing w:before="300"/>
      </w:pPr>
      <w:r>
        <w:t xml:space="preserve">Tunni osad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800"/>
        <w:gridCol w:w="1800"/>
        <w:gridCol w:w="1000"/>
        <w:gridCol w:w="3800"/>
      </w:tblGrid>
      <w:tr>
        <w:tc>
          <w:tcPr>
            <w:tcW w:type="dxa" w:w="600"/>
            <w:shd w:fill="E2E8F0" w:val="clear"/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Osa nimetus</w:t>
            </w:r>
          </w:p>
        </w:tc>
        <w:tc>
          <w:tcPr>
            <w:tcW w:type="dxa" w:w="1800"/>
            <w:shd w:fill="E2E8F0" w:val="clear"/>
          </w:tcPr>
          <w:p>
            <w:r>
              <w:rPr>
                <w:b/>
                <w:bCs/>
              </w:rPr>
              <w:t xml:space="preserve">Tüüp</w:t>
            </w:r>
          </w:p>
        </w:tc>
        <w:tc>
          <w:tcPr>
            <w:tcW w:type="dxa" w:w="1000"/>
            <w:shd w:fill="E2E8F0" w:val="clear"/>
          </w:tcPr>
          <w:p>
            <w:r>
              <w:rPr>
                <w:b/>
                <w:bCs/>
              </w:rPr>
              <w:t xml:space="preserve">Kestus</w:t>
            </w:r>
          </w:p>
        </w:tc>
        <w:tc>
          <w:tcPr>
            <w:tcW w:type="dxa" w:w="3800"/>
            <w:shd w:fill="E2E8F0" w:val="clear"/>
          </w:tcPr>
          <w:p>
            <w:r>
              <w:rPr>
                <w:b/>
                <w:bCs/>
              </w:rPr>
              <w:t xml:space="preserve">Lühikirjeldus</w:t>
            </w:r>
          </w:p>
        </w:tc>
      </w:tr>
      <w:tr>
        <w:tc>
          <w:tcPr>
            <w:tcW w:type="dxa" w:w="600"/>
          </w:tcPr>
          <w:p>
            <w:r>
              <w:t xml:space="preserve">1</w:t>
            </w:r>
          </w:p>
        </w:tc>
        <w:tc>
          <w:tcPr>
            <w:tcW w:type="dxa" w:w="1800"/>
          </w:tcPr>
          <w:p>
            <w:r>
              <w:t xml:space="preserve">Häälestus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5 min</w:t>
            </w:r>
          </w:p>
        </w:tc>
        <w:tc>
          <w:tcPr>
            <w:tcW w:type="dxa" w:w="3800"/>
          </w:tcPr>
          <w:p>
            <w:r>
              <w:t xml:space="preserve">Koos arutletakse läbi, milliseid heuristikaid on juba õpitud ning arutatakse/põhjendatakse millist nendest heuristikatest kasutaks igaüks individuaalselt kõige rohkem ja miks.</w:t>
            </w:r>
          </w:p>
        </w:tc>
      </w:tr>
      <w:tr>
        <w:tc>
          <w:tcPr>
            <w:tcW w:type="dxa" w:w="600"/>
          </w:tcPr>
          <w:p>
            <w:r>
              <w:t xml:space="preserve">2</w:t>
            </w:r>
          </w:p>
        </w:tc>
        <w:tc>
          <w:tcPr>
            <w:tcW w:type="dxa" w:w="1800"/>
          </w:tcPr>
          <w:p>
            <w:r>
              <w:t xml:space="preserve">Probleemülesannete väljakutse</w:t>
            </w:r>
          </w:p>
        </w:tc>
        <w:tc>
          <w:tcPr>
            <w:tcW w:type="dxa" w:w="1800"/>
          </w:tcPr>
          <w:p>
            <w:r>
              <w:t xml:space="preserve">Individuaalne harjutamine</w:t>
            </w:r>
          </w:p>
        </w:tc>
        <w:tc>
          <w:tcPr>
            <w:tcW w:type="dxa" w:w="1000"/>
          </w:tcPr>
          <w:p>
            <w:r>
              <w:t xml:space="preserve">25 min</w:t>
            </w:r>
          </w:p>
        </w:tc>
        <w:tc>
          <w:tcPr>
            <w:tcW w:type="dxa" w:w="3800"/>
          </w:tcPr>
          <w:p>
            <w:r>
              <w:t xml:space="preserve">Lahendatakse 3 kuni 4 probleemi. Ühtegi heuristikat ette ei anta. Enne igat probleemi täidab õpilane väikese tabeli: Mis on probleem? Millise heuristikaga alustan? Miks valisin selle heuristika? Ja lõpus analüüsib. kas pidi esialgset plaani muutma.</w:t>
            </w:r>
          </w:p>
        </w:tc>
      </w:tr>
      <w:tr>
        <w:tc>
          <w:tcPr>
            <w:tcW w:type="dxa" w:w="600"/>
          </w:tcPr>
          <w:p>
            <w:r>
              <w:t xml:space="preserve">3</w:t>
            </w:r>
          </w:p>
        </w:tc>
        <w:tc>
          <w:tcPr>
            <w:tcW w:type="dxa" w:w="1800"/>
          </w:tcPr>
          <w:p>
            <w:r>
              <w:t xml:space="preserve">Heuristikate arutelu</w:t>
            </w:r>
          </w:p>
        </w:tc>
        <w:tc>
          <w:tcPr>
            <w:tcW w:type="dxa" w:w="1800"/>
          </w:tcPr>
          <w:p>
            <w:r>
              <w:t xml:space="preserve">Ühine arutelu</w:t>
            </w:r>
          </w:p>
        </w:tc>
        <w:tc>
          <w:tcPr>
            <w:tcW w:type="dxa" w:w="1000"/>
          </w:tcPr>
          <w:p>
            <w:r>
              <w:t xml:space="preserve">7 min</w:t>
            </w:r>
          </w:p>
        </w:tc>
        <w:tc>
          <w:tcPr>
            <w:tcW w:type="dxa" w:w="3800"/>
          </w:tcPr>
          <w:p>
            <w:r>
              <w:t xml:space="preserve">Iga ülesande juurde arutletakse milliste heuristikatega alustati, kas muudeti oma esialgset plaani ning mis oli õpikogemus.</w:t>
            </w:r>
          </w:p>
        </w:tc>
      </w:tr>
      <w:tr>
        <w:tc>
          <w:tcPr>
            <w:tcW w:type="dxa" w:w="600"/>
          </w:tcPr>
          <w:p>
            <w:r>
              <w:t xml:space="preserve">4</w:t>
            </w:r>
          </w:p>
        </w:tc>
        <w:tc>
          <w:tcPr>
            <w:tcW w:type="dxa" w:w="1800"/>
          </w:tcPr>
          <w:p>
            <w:r>
              <w:t xml:space="preserve">Heuristikate tööriistakasti analüüs</w:t>
            </w:r>
          </w:p>
        </w:tc>
        <w:tc>
          <w:tcPr>
            <w:tcW w:type="dxa" w:w="1800"/>
          </w:tcPr>
          <w:p>
            <w:r>
              <w:t xml:space="preserve">Refleksioon</w:t>
            </w:r>
          </w:p>
        </w:tc>
        <w:tc>
          <w:tcPr>
            <w:tcW w:type="dxa" w:w="1000"/>
          </w:tcPr>
          <w:p>
            <w:r>
              <w:t xml:space="preserve">8 min</w:t>
            </w:r>
          </w:p>
        </w:tc>
        <w:tc>
          <w:tcPr>
            <w:tcW w:type="dxa" w:w="3800"/>
          </w:tcPr>
          <w:p>
            <w:r>
              <w:t xml:space="preserve">Tehakse tabel, kus iga heuristika juurde kirjutatakse millal seda kasutada.</w:t>
            </w:r>
          </w:p>
        </w:tc>
      </w:tr>
    </w:tbl>
    <w:p>
      <w:pPr>
        <w:pStyle w:val="Heading2"/>
        <w:spacing w:before="300"/>
      </w:pPr>
      <w:r>
        <w:t xml:space="preserve">Kasutatav õppevara</w:t>
      </w:r>
    </w:p>
    <w:p>
      <w:r>
        <w:t xml:space="preserve">Õppevara pole märgitud.</w:t>
      </w:r>
    </w:p>
    <w:p>
      <w:pPr>
        <w:pStyle w:val="Heading2"/>
        <w:spacing w:before="300"/>
      </w:pPr>
      <w:r>
        <w:t xml:space="preserve">Kodutöö</w:t>
      </w:r>
    </w:p>
    <w:p>
      <w:r>
        <w:t xml:space="preserve">Kodutööd pole määratud.</w:t>
      </w:r>
    </w:p>
    <w:p>
      <w:pPr>
        <w:spacing w:before="400"/>
      </w:pPr>
    </w:p>
    <w:p>
      <w:pPr>
        <w:pBdr>
          <w:top w:val="single" w:color="CBD5E1" w:sz="6" w:space="4"/>
        </w:pBdr>
      </w:pPr>
      <w:r>
        <w:rPr>
          <w:color w:val="64748B"/>
          <w:sz w:val="18"/>
          <w:szCs w:val="18"/>
        </w:rPr>
        <w:t xml:space="preserve">Autor: Kerdi Mihhailova. Litsents: CC BY 4.0 (</w:t>
      </w:r>
      <w:hyperlink w:history="1" r:id="rIdzc-enrd5f4wonotuvfuil">
        <w:r>
          <w:rPr>
            <w:color w:val="2563EB"/>
            <w:sz w:val="18"/>
            <w:szCs w:val="18"/>
            <w:u w:val="single"/>
          </w:rPr>
          <w:t xml:space="preserve">creativecommons.org/licenses/by/4.0</w:t>
        </w:r>
      </w:hyperlink>
      <w:r>
        <w:rPr>
          <w:color w:val="64748B"/>
          <w:sz w:val="18"/>
          <w:szCs w:val="18"/>
        </w:rPr>
        <w:t xml:space="preserve">). Allikas: LAHEMATIX tunnikavade galerii.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c-enrd5f4wonotuvfuil" Type="http://schemas.openxmlformats.org/officeDocument/2006/relationships/hyperlink" Target="https://creativecommons.org/licenses/by/4.0/deed.et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2026-09-17T16:09:13.860Z</dcterms:created>
  <dcterms:modified xsi:type="dcterms:W3CDTF">2026-09-17T16:09:13.860Z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